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BF" w:rsidRDefault="007B5FBF" w:rsidP="007B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СОСТОЯНИЯ ЛЕСНЫХ СООБЩЕСТВ</w:t>
      </w:r>
    </w:p>
    <w:p w:rsidR="007B5FBF" w:rsidRPr="007B5FBF" w:rsidRDefault="007B5FBF" w:rsidP="007B5F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ДЕРЕВОРАЗРУШАЮЩИХ ГРИБОВ</w:t>
      </w:r>
    </w:p>
    <w:p w:rsidR="00E1042B" w:rsidRDefault="00E1042B" w:rsidP="00E1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042B">
        <w:rPr>
          <w:rFonts w:ascii="Times New Roman" w:hAnsi="Times New Roman" w:cs="Times New Roman"/>
          <w:b/>
          <w:bCs/>
          <w:sz w:val="28"/>
          <w:szCs w:val="28"/>
        </w:rPr>
        <w:t>Природный парк «</w:t>
      </w:r>
      <w:proofErr w:type="spellStart"/>
      <w:r w:rsidRPr="00E1042B">
        <w:rPr>
          <w:rFonts w:ascii="Times New Roman" w:hAnsi="Times New Roman" w:cs="Times New Roman"/>
          <w:b/>
          <w:bCs/>
          <w:sz w:val="28"/>
          <w:szCs w:val="28"/>
        </w:rPr>
        <w:t>Бажовские</w:t>
      </w:r>
      <w:proofErr w:type="spellEnd"/>
      <w:r w:rsidRPr="00E1042B">
        <w:rPr>
          <w:rFonts w:ascii="Times New Roman" w:hAnsi="Times New Roman" w:cs="Times New Roman"/>
          <w:b/>
          <w:bCs/>
          <w:sz w:val="28"/>
          <w:szCs w:val="28"/>
        </w:rPr>
        <w:t xml:space="preserve"> места»</w:t>
      </w:r>
    </w:p>
    <w:p w:rsidR="00E1042B" w:rsidRPr="00E1042B" w:rsidRDefault="00E1042B" w:rsidP="00E1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1042B" w:rsidRPr="00E1042B" w:rsidRDefault="00E1042B" w:rsidP="00E10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1042B">
        <w:rPr>
          <w:rFonts w:ascii="Times New Roman" w:eastAsia="TimesNewRomanPSMT" w:hAnsi="Times New Roman" w:cs="Times New Roman"/>
          <w:sz w:val="28"/>
          <w:szCs w:val="28"/>
        </w:rPr>
        <w:t>В районе с высокой рекреационной нагрузкой на участке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леса СП</w:t>
      </w: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>2</w:t>
      </w:r>
      <w:proofErr w:type="gram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во все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годы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исследований в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микокомплексах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хвойных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и лиственных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консорций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видовое богатство и разнообразие, наблюдаемые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ценопараметры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генеративной и конкурентной активности видов остаются ниже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фоновых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(СП1) (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табл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>. 3.11). Различия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ценопараметров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генеративной и конкурентной активности видов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микокомплексов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хвойных и лиственных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консорций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рекреационного и фонового участков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леса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в последние три года исследований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статистически значимы (табл. 3.12). Высокая численность фитопатогенных видов в составе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микокомплексов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фонового и рекреационного участков леса, скорее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всего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обусловлена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высоким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классом</w:t>
      </w:r>
      <w:proofErr w:type="spellEnd"/>
    </w:p>
    <w:p w:rsidR="00E1042B" w:rsidRPr="00E1042B" w:rsidRDefault="00E1042B" w:rsidP="00E10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возраста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древостоя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, а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ее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колебания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>, очевидно, связаны с вырубкой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зараженных деревьев при проведении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санитарных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рубок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>. Следует</w:t>
      </w:r>
      <w:r w:rsidRPr="00E10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отметить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фоновые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ценопараметры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функциональной структуры лесных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микокомплексов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не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уменьшились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после пожара 2014 г.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на участке леса СП</w:t>
      </w: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>1</w:t>
      </w:r>
      <w:proofErr w:type="gram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где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большая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часть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валежа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и сухостоя (особенно лиственного) была уничтожена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удалена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1042B" w:rsidRPr="00E1042B" w:rsidRDefault="00E1042B" w:rsidP="00E10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Консортивная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структура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микокомплексов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участков леса СП</w:t>
      </w: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>1</w:t>
      </w:r>
      <w:proofErr w:type="gram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СП2 приведена в табл. 3.13, 3.14. В хвойных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консорциях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малонарушенного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участка леса (СП</w:t>
      </w: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>1</w:t>
      </w:r>
      <w:proofErr w:type="gramEnd"/>
      <w:r w:rsidRPr="00E1042B">
        <w:rPr>
          <w:rFonts w:ascii="Times New Roman" w:eastAsia="TimesNewRomanPSMT" w:hAnsi="Times New Roman" w:cs="Times New Roman"/>
          <w:sz w:val="28"/>
          <w:szCs w:val="28"/>
        </w:rPr>
        <w:t>) в первый год исследований доминировал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Fomitopsis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pinicola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(K),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содоминантами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выступали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Antrodia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xantha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Ks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Botryobasidium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subcoronatum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Sk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Diplomitoporus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flavescens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S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E1042B" w:rsidRPr="00E1042B" w:rsidRDefault="00E1042B" w:rsidP="00E10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Во второй год исследований при доминировании </w:t>
      </w: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>стресс-толерантных</w:t>
      </w:r>
      <w:proofErr w:type="gram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видов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Botryobasidium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subcoronatum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Coniophora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arida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Sk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>) остается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высокой относительная численность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виолентов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Fomitopsis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pinicola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(K),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Antrodia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xantha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Ks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), увеличивается представленность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патиентов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Leptoporus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mollis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S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), виды рода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Postia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S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Parmastomyces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mollissimus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S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а также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эксплерентного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Trichaptum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fuscoviolaceum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R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). В третий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год исследований в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микокомплексе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хвойных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консорций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малонарушенного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участка доминирует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виолент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Fomitopsis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pinicola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(K) и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патиентный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вид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Postia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undosa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(S), в качестве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содоминантов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выступают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Antrodia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xantha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Ks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Botryobasidium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subcoronatum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Sk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>). В последний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год исследований в состав доминирующих видов входят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стресстолерантный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Botryobasidium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subcoronatum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Sk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виолентный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, экологический пластичный и увеличивающий численность в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послепо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Ж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арных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сукцессиях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Antrodia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xantha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Ks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), а также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патиентный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Postia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leucomallella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(S). На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малонарушенном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участке в последний год исследований обнаружен редкий повсюду в ареале и новый для Свердловской области вид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Hyphodontia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floccosa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(S), развивающийся на старом хвойном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валеже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и поэтому уязвимый (категория МСОП – VU), а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также другие редкие виды: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Skeletocutis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odora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(S) (категория МСОП –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NT, состояние популяций в регионе близкое к </w:t>
      </w: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>угрожаемому</w:t>
      </w:r>
      <w:proofErr w:type="gram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Parmastomyces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mollissimus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(S) (категория МСОП – VU,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lastRenderedPageBreak/>
        <w:t>уязвимый в регионе) [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Aphyllophoroid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fungi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of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Sverdlovsk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region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, 2010], повсюду встречающиеся нечасто/редко и индикаторные для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старовозрастных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лесов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Pilatoporus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primaevus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S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Leptoporus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mollis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S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Rhodonia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placenta</w:t>
      </w:r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S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E1042B" w:rsidRPr="00E1042B" w:rsidRDefault="00E1042B" w:rsidP="00E10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В хвойных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консорциях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рекреационного участка леса сохраняется крайне низкая/остаточная численность как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виолентов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(виды рода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Antrodia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Ks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Fomitopsis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pinicola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– K), так и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стресстолерантных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эксплерентных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и видов (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Botryobasidium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subcoronatum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</w:t>
      </w:r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виды родов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Hyphoderma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Hyphodontia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Hypochnicium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Peniophorella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Sk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Phlebiopsis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gigantea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Pleurotus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ostreatus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Skeletocutis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amorpha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Stereum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sanguinolentum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Trametes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versicolor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Trichaptum</w:t>
      </w:r>
      <w:proofErr w:type="spellEnd"/>
      <w:proofErr w:type="gramEnd"/>
    </w:p>
    <w:p w:rsidR="00E1042B" w:rsidRPr="00E1042B" w:rsidRDefault="00E1042B" w:rsidP="00E10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fuscoviolaceum</w:t>
      </w:r>
      <w:proofErr w:type="spellEnd"/>
      <w:proofErr w:type="gram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– R,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Porodaedalea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pini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Rk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).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Однако на </w:t>
      </w: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>крупномерном</w:t>
      </w:r>
      <w:proofErr w:type="gram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валеже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поздних этапов деструкции встречаются индикатор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ные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старовозрастных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лесов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Leptoporus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mollis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(S),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Rhodonia</w:t>
      </w:r>
      <w:proofErr w:type="spellEnd"/>
    </w:p>
    <w:p w:rsidR="00E1042B" w:rsidRPr="00E1042B" w:rsidRDefault="00E1042B" w:rsidP="00E10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placenta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(S).</w:t>
      </w:r>
    </w:p>
    <w:p w:rsidR="00E1042B" w:rsidRPr="00E1042B" w:rsidRDefault="00E1042B" w:rsidP="00E10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лиственных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консорциях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малонарушенного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участка леса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(СП</w:t>
      </w: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>1</w:t>
      </w:r>
      <w:proofErr w:type="gram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 во второй год исследований доминировал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Fomes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fomentarius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(K), численность которого сократилась после локального возгорания 2014 г.,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содоминантами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выступали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виолентный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Fomitopsis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pinicola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(K),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патиентный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Sistotrema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raduloides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(S), а также развивающийся на стволах старых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деревьев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Inonotus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obliquus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Rk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>). На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третий и четвертый год исследований в результате появления на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малонарушенном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участке леса свежего </w:t>
      </w: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>отпада</w:t>
      </w:r>
      <w:proofErr w:type="gram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отмерших после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пожара лиственных деревьев в фоновых условиях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доминанирующими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по численности являлись характерные для ранних этапов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колонизации древесины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Lenzites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betulina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(R),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Stereum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hirsutum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(R),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S</w:t>
      </w:r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subtomentosum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Sk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Trametes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versicolor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E1042B">
        <w:rPr>
          <w:rFonts w:ascii="Times New Roman" w:eastAsia="TimesNewRomanPSMT" w:hAnsi="Times New Roman" w:cs="Times New Roman"/>
          <w:sz w:val="28"/>
          <w:szCs w:val="28"/>
          <w:lang w:val="en-US"/>
        </w:rPr>
        <w:t>R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E1042B" w:rsidRPr="00E1042B" w:rsidRDefault="00E1042B" w:rsidP="00E10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В лиственных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консорциях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участка леса в районе рекреации в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разные годы исследований доминировали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эксплеренты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Bjerkandera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adusta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Cerrena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unicolor</w:t>
      </w:r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Chondrostereum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purpureum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Trametes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versicolor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(R).</w:t>
      </w:r>
      <w:proofErr w:type="gram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Относительная численность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виолентного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вида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Fomes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fomentarius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(K) остается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крайне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низкой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, в сравнении </w:t>
      </w: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фоновой. </w:t>
      </w:r>
      <w:proofErr w:type="spellStart"/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>Однако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участке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леса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районе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рекреации на стволе усыхающей растущей березы был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обнаружен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не часто встречающийся вид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Hericium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cirrhatum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(S), способный повреждать живые лиственные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деревья, но чаще развивающийся в качестве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сапротрофа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на отмершей древесине (категория МСОП – NT, состояние популяций в регионе близкое к угрожаемому [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Aphyllophoroid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fungi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of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Sverdlovsk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region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>, 2010].</w:t>
      </w:r>
      <w:proofErr w:type="gramEnd"/>
    </w:p>
    <w:p w:rsidR="00E1042B" w:rsidRPr="00E1042B" w:rsidRDefault="00E1042B" w:rsidP="00E10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К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патогенным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видам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>, развивающимся на растущих хвойных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деревьях, относится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Porodaedalea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pini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(сосновая губка, стволовая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гниль сосны).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Живые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лиственные деревья повреждает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Inonotus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obliquus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(скошенный трутовик, чага, стволовая гниль, главным образом березы), а также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Chondrostereum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purpureum</w:t>
      </w:r>
      <w:proofErr w:type="spellEnd"/>
      <w:r w:rsidRPr="00E1042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хондростереум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>пурпурный, гниль стволов и ветвей лиственных видов).</w:t>
      </w:r>
    </w:p>
    <w:p w:rsidR="00E1042B" w:rsidRPr="00E1042B" w:rsidRDefault="00E1042B" w:rsidP="00E10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Таким образом, продолжающееся сокращение видового разнообразия, снижение генеративной и конкурентной активности видов в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микокомплексах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хвойных и лиственных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консорций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участка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леса возле подножия скалы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Тальков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Камень в районе рекреации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в сравнении с </w:t>
      </w: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>фоновыми</w:t>
      </w:r>
      <w:proofErr w:type="gram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указывает на деградацию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микобиоты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1042B" w:rsidRDefault="00E1042B" w:rsidP="00E10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1042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Наблюдаемое уменьшение относительной численности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виолентных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(K,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Ks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) и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увеличение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представленности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эксплерентных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(R,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Rk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видов в составе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микокомплексов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хвойных и лиственных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консорций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рекреационного участка леса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сравнению с </w:t>
      </w:r>
      <w:proofErr w:type="gramStart"/>
      <w:r w:rsidRPr="00E1042B">
        <w:rPr>
          <w:rFonts w:ascii="Times New Roman" w:eastAsia="TimesNewRomanPSMT" w:hAnsi="Times New Roman" w:cs="Times New Roman"/>
          <w:sz w:val="28"/>
          <w:szCs w:val="28"/>
        </w:rPr>
        <w:t>фоновыми</w:t>
      </w:r>
      <w:proofErr w:type="gramEnd"/>
      <w:r w:rsidRPr="00E1042B">
        <w:rPr>
          <w:rFonts w:ascii="Times New Roman" w:eastAsia="TimesNewRomanPSMT" w:hAnsi="Times New Roman" w:cs="Times New Roman"/>
          <w:sz w:val="28"/>
          <w:szCs w:val="28"/>
        </w:rPr>
        <w:t xml:space="preserve"> свидетельствует об антропогенной трансформации </w:t>
      </w:r>
      <w:proofErr w:type="spellStart"/>
      <w:r w:rsidRPr="00E1042B">
        <w:rPr>
          <w:rFonts w:ascii="Times New Roman" w:eastAsia="TimesNewRomanPSMT" w:hAnsi="Times New Roman" w:cs="Times New Roman"/>
          <w:sz w:val="28"/>
          <w:szCs w:val="28"/>
        </w:rPr>
        <w:t>микобиоты</w:t>
      </w:r>
      <w:proofErr w:type="spellEnd"/>
      <w:r w:rsidRPr="00E1042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54D9B" w:rsidRPr="00C54D9B" w:rsidRDefault="00C54D9B" w:rsidP="00E10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E1042B" w:rsidRDefault="00C54D9B" w:rsidP="00C54D9B">
      <w:pPr>
        <w:autoSpaceDE w:val="0"/>
        <w:autoSpaceDN w:val="0"/>
        <w:adjustRightInd w:val="0"/>
        <w:spacing w:after="0" w:line="240" w:lineRule="auto"/>
        <w:ind w:right="-284" w:hanging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3486" cy="4695825"/>
            <wp:effectExtent l="0" t="0" r="0" b="0"/>
            <wp:docPr id="1" name="Рисунок 1" descr="C:\Users\marina\Desktop\reka_chusovaya_gri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reka_chusovaya_gri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486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AB" w:rsidRDefault="00A662AB" w:rsidP="00C54D9B">
      <w:pPr>
        <w:autoSpaceDE w:val="0"/>
        <w:autoSpaceDN w:val="0"/>
        <w:adjustRightInd w:val="0"/>
        <w:spacing w:after="0" w:line="240" w:lineRule="auto"/>
        <w:ind w:right="-284" w:hanging="993"/>
        <w:rPr>
          <w:rFonts w:ascii="Times New Roman" w:hAnsi="Times New Roman" w:cs="Times New Roman"/>
          <w:sz w:val="28"/>
          <w:szCs w:val="28"/>
          <w:lang w:val="en-US"/>
        </w:rPr>
      </w:pPr>
    </w:p>
    <w:p w:rsidR="00A662AB" w:rsidRDefault="00A662AB" w:rsidP="00C54D9B">
      <w:pPr>
        <w:autoSpaceDE w:val="0"/>
        <w:autoSpaceDN w:val="0"/>
        <w:adjustRightInd w:val="0"/>
        <w:spacing w:after="0" w:line="240" w:lineRule="auto"/>
        <w:ind w:right="-284" w:hanging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9292975"/>
            <wp:effectExtent l="0" t="0" r="0" b="3810"/>
            <wp:docPr id="3" name="Рисунок 3" descr="C:\Users\marina\Desktop\reka_chusovaya_gri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reka_chusovaya_grib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29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5F" w:rsidRDefault="00C9215F" w:rsidP="00C54D9B">
      <w:pPr>
        <w:autoSpaceDE w:val="0"/>
        <w:autoSpaceDN w:val="0"/>
        <w:adjustRightInd w:val="0"/>
        <w:spacing w:after="0" w:line="240" w:lineRule="auto"/>
        <w:ind w:right="-284" w:hanging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9825" cy="9279899"/>
            <wp:effectExtent l="0" t="0" r="0" b="0"/>
            <wp:docPr id="4" name="Рисунок 4" descr="C:\Users\marina\Desktop\reka_chusovaya_gri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reka_chusovaya_grib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27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5F" w:rsidRDefault="004B2A28" w:rsidP="00C54D9B">
      <w:pPr>
        <w:autoSpaceDE w:val="0"/>
        <w:autoSpaceDN w:val="0"/>
        <w:adjustRightInd w:val="0"/>
        <w:spacing w:after="0" w:line="240" w:lineRule="auto"/>
        <w:ind w:right="-284" w:hanging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6299585"/>
            <wp:effectExtent l="0" t="0" r="0" b="6350"/>
            <wp:docPr id="5" name="Рисунок 5" descr="C:\Users\marina\Desktop\reka_chusovaya_gri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Desktop\reka_chusovaya_grib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28" w:rsidRDefault="00F976EF" w:rsidP="00C54D9B">
      <w:pPr>
        <w:autoSpaceDE w:val="0"/>
        <w:autoSpaceDN w:val="0"/>
        <w:adjustRightInd w:val="0"/>
        <w:spacing w:after="0" w:line="240" w:lineRule="auto"/>
        <w:ind w:right="-284" w:hanging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2235" cy="2552700"/>
            <wp:effectExtent l="0" t="0" r="0" b="0"/>
            <wp:docPr id="6" name="Рисунок 6" descr="C:\Users\marina\Desktop\reka_chusovaya_gri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\Desktop\reka_chusovaya_grib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3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F1" w:rsidRDefault="003B3AF1" w:rsidP="00C54D9B">
      <w:pPr>
        <w:autoSpaceDE w:val="0"/>
        <w:autoSpaceDN w:val="0"/>
        <w:adjustRightInd w:val="0"/>
        <w:spacing w:after="0" w:line="240" w:lineRule="auto"/>
        <w:ind w:right="-284" w:hanging="993"/>
        <w:rPr>
          <w:rFonts w:ascii="Times New Roman" w:hAnsi="Times New Roman" w:cs="Times New Roman"/>
          <w:sz w:val="28"/>
          <w:szCs w:val="28"/>
          <w:lang w:val="en-US"/>
        </w:rPr>
      </w:pPr>
    </w:p>
    <w:p w:rsidR="0030467D" w:rsidRPr="00A662AB" w:rsidRDefault="003B3AF1" w:rsidP="0030467D">
      <w:pPr>
        <w:autoSpaceDE w:val="0"/>
        <w:autoSpaceDN w:val="0"/>
        <w:adjustRightInd w:val="0"/>
        <w:spacing w:after="0" w:line="240" w:lineRule="auto"/>
        <w:ind w:right="-284" w:hanging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6C077A" wp14:editId="3167903D">
            <wp:extent cx="6267377" cy="9134475"/>
            <wp:effectExtent l="0" t="0" r="635" b="0"/>
            <wp:docPr id="7" name="Рисунок 7" descr="C:\Users\marina\Desktop\reka_chusovaya_gri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Desktop\reka_chusovaya_grib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77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67D" w:rsidRPr="00A6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BF"/>
    <w:rsid w:val="0030467D"/>
    <w:rsid w:val="003B3AF1"/>
    <w:rsid w:val="004B2A28"/>
    <w:rsid w:val="007B5FBF"/>
    <w:rsid w:val="00A662AB"/>
    <w:rsid w:val="00B12398"/>
    <w:rsid w:val="00C54D9B"/>
    <w:rsid w:val="00C9215F"/>
    <w:rsid w:val="00E1042B"/>
    <w:rsid w:val="00F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dcterms:created xsi:type="dcterms:W3CDTF">2017-01-12T04:28:00Z</dcterms:created>
  <dcterms:modified xsi:type="dcterms:W3CDTF">2017-01-12T04:49:00Z</dcterms:modified>
</cp:coreProperties>
</file>